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335/2026</w:t>
      </w:r>
      <w:r>
        <w:rPr>
          <w:rFonts w:ascii="Arial" w:hAnsi="Arial" w:cs="Arial"/>
          <w:b/>
          <w:bCs/>
          <w:sz w:val="22"/>
          <w:szCs w:val="22"/>
          <w:highlight w:val="none"/>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Pregão Eletrônico nº</w:t>
      </w:r>
      <w:r>
        <w:rPr>
          <w:rFonts w:hint="default" w:ascii="Arial" w:hAnsi="Arial" w:cs="Arial"/>
          <w:b/>
          <w:bCs/>
          <w:sz w:val="22"/>
          <w:szCs w:val="22"/>
          <w:highlight w:val="none"/>
          <w:lang w:val="pt-BR"/>
        </w:rPr>
        <w:t xml:space="preserve"> 90.034/2026</w:t>
      </w:r>
      <w:r>
        <w:rPr>
          <w:rFonts w:ascii="Arial" w:hAnsi="Arial" w:cs="Arial"/>
          <w:sz w:val="22"/>
          <w:szCs w:val="22"/>
        </w:rPr>
        <w:t>,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360" w:lineRule="auto"/>
        <w:ind w:left="0" w:firstLine="0"/>
        <w:jc w:val="both"/>
        <w:rPr>
          <w:rFonts w:ascii="Arial" w:hAnsi="Arial" w:cs="Arial"/>
          <w:bCs/>
          <w:iCs/>
        </w:rPr>
      </w:pPr>
      <w:r>
        <w:rPr>
          <w:rFonts w:ascii="Arial" w:hAnsi="Arial" w:cs="Arial"/>
          <w:bCs/>
          <w:iCs/>
        </w:rPr>
        <w:t xml:space="preserve"> O objeto do presente instrumento é a</w:t>
      </w:r>
      <w:r>
        <w:rPr>
          <w:rFonts w:ascii="Arial" w:hAnsi="Arial" w:cs="Arial"/>
          <w:bCs/>
          <w:iCs/>
          <w:lang w:val="pt-BR" w:eastAsia="pt-BR"/>
        </w:rPr>
        <w:t xml:space="preserve"> </w:t>
      </w:r>
      <w:r>
        <w:rPr>
          <w:rFonts w:ascii="Arial" w:hAnsi="Arial" w:cs="Arial"/>
          <w:b/>
          <w:bCs w:val="0"/>
          <w:iCs/>
          <w:lang w:val="pt-BR" w:eastAsia="pt-BR"/>
        </w:rPr>
        <w:t>AQUISIÇÃO DE FÓRMULA INFANTIL, PARA ATENDER A NECESSIDADE DO HOSPITAL MATERNIDADE DR. MÁRIO DUTRA DE CASTRO, SUBSECRETARIA DE VIGILÂNCIA EM SAÚDE/PROGRAMA IST/AIDS/HV E FARMÁCIA COMPLEMENTAR</w:t>
      </w:r>
      <w:r>
        <w:rPr>
          <w:rFonts w:ascii="Arial" w:hAnsi="Arial" w:cs="Arial"/>
          <w:b/>
          <w:bCs w:val="0"/>
          <w:iCs/>
        </w:rPr>
        <w:t>,</w:t>
      </w:r>
      <w:r>
        <w:rPr>
          <w:rFonts w:ascii="Arial" w:hAnsi="Arial" w:cs="Arial"/>
          <w:bCs/>
          <w:iCs/>
        </w:rPr>
        <w:t xml:space="preserve">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7D2AA859">
      <w:pPr>
        <w:tabs>
          <w:tab w:val="left" w:pos="426"/>
        </w:tabs>
        <w:jc w:val="center"/>
        <w:rPr>
          <w:rFonts w:ascii="Arial" w:hAnsi="Arial" w:cs="Arial"/>
          <w:b/>
          <w:bCs/>
          <w:i/>
          <w:iCs/>
          <w:color w:val="auto"/>
          <w:u w:val="single"/>
          <w:lang w:val="pt-BR"/>
        </w:rPr>
      </w:pPr>
    </w:p>
    <w:p w14:paraId="68894C8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14:paraId="4238567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14:paraId="27B1858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605D55A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77ABC2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10534BA0">
      <w:pPr>
        <w:pStyle w:val="2"/>
        <w:numPr>
          <w:ilvl w:val="0"/>
          <w:numId w:val="0"/>
        </w:numPr>
        <w:tabs>
          <w:tab w:val="left" w:pos="950"/>
        </w:tabs>
        <w:spacing w:before="1"/>
        <w:ind w:right="53" w:rightChars="24"/>
        <w:rPr>
          <w:rFonts w:hint="default" w:ascii="Arial" w:hAnsi="Arial" w:eastAsia="Verdana" w:cs="Arial"/>
          <w:bCs/>
          <w:iCs/>
          <w:color w:val="auto"/>
          <w:sz w:val="22"/>
          <w:szCs w:val="22"/>
          <w:u w:val="single"/>
          <w:lang w:val="pt-BR" w:eastAsia="en-US" w:bidi="ar-SA"/>
        </w:rPr>
      </w:pPr>
    </w:p>
    <w:p w14:paraId="5B6D9556">
      <w:pPr>
        <w:pStyle w:val="2"/>
        <w:numPr>
          <w:ilvl w:val="0"/>
          <w:numId w:val="0"/>
        </w:numPr>
        <w:tabs>
          <w:tab w:val="left" w:pos="950"/>
        </w:tabs>
        <w:spacing w:before="1"/>
        <w:ind w:right="53" w:rightChars="24"/>
        <w:rPr>
          <w:rFonts w:ascii="Arial" w:hAnsi="Arial" w:eastAsia="Verdana" w:cs="Arial"/>
          <w:bCs/>
          <w:i w:val="0"/>
          <w:iCs/>
          <w:color w:val="auto"/>
          <w:sz w:val="22"/>
          <w:szCs w:val="22"/>
          <w:u w:val="single"/>
          <w:lang w:val="pt-PT" w:eastAsia="en-US" w:bidi="ar-SA"/>
        </w:rPr>
      </w:pPr>
      <w:r>
        <w:rPr>
          <w:rFonts w:hint="default" w:ascii="Arial" w:hAnsi="Arial" w:eastAsia="Verdana" w:cs="Arial"/>
          <w:bCs/>
          <w:iCs/>
          <w:color w:val="auto"/>
          <w:sz w:val="22"/>
          <w:szCs w:val="22"/>
          <w:u w:val="single"/>
          <w:lang w:val="pt-BR" w:eastAsia="en-US" w:bidi="ar-SA"/>
        </w:rPr>
        <w:t xml:space="preserve">3.1 </w:t>
      </w:r>
      <w:r>
        <w:rPr>
          <w:rFonts w:ascii="Arial" w:hAnsi="Arial" w:eastAsia="Verdana" w:cs="Arial"/>
          <w:bCs/>
          <w:i w:val="0"/>
          <w:iCs/>
          <w:color w:val="auto"/>
          <w:sz w:val="22"/>
          <w:szCs w:val="22"/>
          <w:u w:val="single"/>
          <w:lang w:val="pt-PT" w:eastAsia="en-US" w:bidi="ar-SA"/>
        </w:rPr>
        <w:t>EXECUÇ</w:t>
      </w:r>
      <w:r>
        <w:rPr>
          <w:rFonts w:hint="default" w:eastAsia="Verdana" w:cs="Arial"/>
          <w:bCs/>
          <w:i w:val="0"/>
          <w:iCs/>
          <w:color w:val="auto"/>
          <w:sz w:val="22"/>
          <w:szCs w:val="22"/>
          <w:u w:val="single"/>
          <w:lang w:val="pt-BR" w:eastAsia="en-US" w:bidi="ar-SA"/>
        </w:rPr>
        <w:t>Ã</w:t>
      </w:r>
      <w:r>
        <w:rPr>
          <w:rFonts w:ascii="Arial" w:hAnsi="Arial" w:eastAsia="Verdana" w:cs="Arial"/>
          <w:bCs/>
          <w:i w:val="0"/>
          <w:iCs/>
          <w:color w:val="auto"/>
          <w:sz w:val="22"/>
          <w:szCs w:val="22"/>
          <w:u w:val="single"/>
          <w:lang w:val="pt-PT" w:eastAsia="en-US" w:bidi="ar-SA"/>
        </w:rPr>
        <w:t>O CONTRATUAL</w:t>
      </w:r>
    </w:p>
    <w:p w14:paraId="1FC7C5B6">
      <w:pPr>
        <w:pStyle w:val="19"/>
        <w:numPr>
          <w:ilvl w:val="0"/>
          <w:numId w:val="0"/>
        </w:numPr>
        <w:tabs>
          <w:tab w:val="left" w:pos="1724"/>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3.1.1 </w:t>
      </w:r>
      <w:r>
        <w:rPr>
          <w:rFonts w:ascii="Arial" w:hAnsi="Arial" w:eastAsia="Verdana" w:cs="Arial"/>
          <w:bCs/>
          <w:iCs/>
          <w:color w:val="auto"/>
          <w:sz w:val="22"/>
          <w:szCs w:val="22"/>
          <w:lang w:val="pt-PT" w:eastAsia="en-US" w:bidi="ar-SA"/>
        </w:rPr>
        <w:t>O prazo de entrega do objeto é de no máximo 15 (quinze) dias úteis, contados a partir do recebimento da nota de empenho, sob demanda, conforme conveniência e necessidade das unidades requisitantes;</w:t>
      </w:r>
    </w:p>
    <w:p w14:paraId="52BE9CD4">
      <w:pPr>
        <w:pStyle w:val="19"/>
        <w:numPr>
          <w:ilvl w:val="0"/>
          <w:numId w:val="0"/>
        </w:numPr>
        <w:tabs>
          <w:tab w:val="left" w:pos="1700"/>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3.1.2 </w:t>
      </w:r>
      <w:r>
        <w:rPr>
          <w:rFonts w:ascii="Arial" w:hAnsi="Arial" w:eastAsia="Verdana" w:cs="Arial"/>
          <w:bCs/>
          <w:iCs/>
          <w:color w:val="auto"/>
          <w:sz w:val="22"/>
          <w:szCs w:val="22"/>
          <w:lang w:val="pt-PT" w:eastAsia="en-US" w:bidi="ar-SA"/>
        </w:rPr>
        <w:t>Caso não seja possível a entrega na data assinalada, a empresa deverá comunicar as razões respectivas com pelo menos 5 (cinco) dias úteis de antecedência para que qualquer pleito de prorrogação de prazo seja analisado, ressalvadas situações de caso fortuito e força maior;</w:t>
      </w:r>
    </w:p>
    <w:p w14:paraId="321DFD87">
      <w:pPr>
        <w:pStyle w:val="19"/>
        <w:numPr>
          <w:ilvl w:val="0"/>
          <w:numId w:val="0"/>
        </w:numPr>
        <w:tabs>
          <w:tab w:val="left" w:pos="1698"/>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3.1.3 </w:t>
      </w:r>
      <w:r>
        <w:rPr>
          <w:rFonts w:ascii="Arial" w:hAnsi="Arial" w:eastAsia="Verdana" w:cs="Arial"/>
          <w:bCs/>
          <w:iCs/>
          <w:color w:val="auto"/>
          <w:sz w:val="22"/>
          <w:szCs w:val="22"/>
          <w:lang w:val="pt-PT" w:eastAsia="en-US" w:bidi="ar-SA"/>
        </w:rPr>
        <w:t>A Contratada deverá proceder com a entrega do objeto nos locas e horário arrolados abaixo:</w:t>
      </w:r>
    </w:p>
    <w:p w14:paraId="4393FE55">
      <w:pPr>
        <w:pStyle w:val="10"/>
        <w:spacing w:before="46"/>
        <w:ind w:right="53" w:rightChars="24"/>
        <w:rPr>
          <w:rFonts w:ascii="Arial" w:hAnsi="Arial" w:eastAsia="Verdana" w:cs="Arial"/>
          <w:bCs/>
          <w:iCs/>
          <w:color w:val="auto"/>
          <w:sz w:val="22"/>
          <w:szCs w:val="22"/>
          <w:lang w:val="pt-PT" w:eastAsia="en-US" w:bidi="ar-SA"/>
        </w:rPr>
      </w:pPr>
    </w:p>
    <w:p w14:paraId="1F90D800">
      <w:pPr>
        <w:pStyle w:val="19"/>
        <w:numPr>
          <w:ilvl w:val="0"/>
          <w:numId w:val="0"/>
        </w:numPr>
        <w:tabs>
          <w:tab w:val="left" w:pos="2473"/>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 </w:t>
      </w:r>
      <w:r>
        <w:rPr>
          <w:rFonts w:ascii="Arial" w:hAnsi="Arial" w:eastAsia="Verdana" w:cs="Arial"/>
          <w:b/>
          <w:bCs w:val="0"/>
          <w:iCs/>
          <w:color w:val="auto"/>
          <w:sz w:val="22"/>
          <w:szCs w:val="22"/>
          <w:lang w:val="pt-PT" w:eastAsia="en-US" w:bidi="ar-SA"/>
        </w:rPr>
        <w:t xml:space="preserve">Hospital Maternidade Dr. Mário Dutra de Castro </w:t>
      </w:r>
      <w:r>
        <w:rPr>
          <w:rFonts w:ascii="Arial" w:hAnsi="Arial" w:eastAsia="Verdana" w:cs="Arial"/>
          <w:bCs/>
          <w:iCs/>
          <w:color w:val="auto"/>
          <w:sz w:val="22"/>
          <w:szCs w:val="22"/>
          <w:lang w:val="pt-PT" w:eastAsia="en-US" w:bidi="ar-SA"/>
        </w:rPr>
        <w:t>– Travessa Antônio Fernandes Moreira, 12 – Centro – Nova Friburo/RJ. Respeitando os dias de entrega, de segunda-feira a quinta-feira, nos horários de 09:00h às 16:00h;</w:t>
      </w:r>
    </w:p>
    <w:p w14:paraId="12BB38AB">
      <w:pPr>
        <w:pStyle w:val="10"/>
        <w:spacing w:before="49"/>
        <w:ind w:right="53" w:rightChars="24"/>
        <w:rPr>
          <w:rFonts w:ascii="Arial" w:hAnsi="Arial" w:eastAsia="Verdana" w:cs="Arial"/>
          <w:bCs/>
          <w:iCs/>
          <w:color w:val="auto"/>
          <w:sz w:val="22"/>
          <w:szCs w:val="22"/>
          <w:lang w:val="pt-PT" w:eastAsia="en-US" w:bidi="ar-SA"/>
        </w:rPr>
      </w:pPr>
    </w:p>
    <w:p w14:paraId="3379A23B">
      <w:pPr>
        <w:pStyle w:val="19"/>
        <w:numPr>
          <w:ilvl w:val="0"/>
          <w:numId w:val="0"/>
        </w:numPr>
        <w:tabs>
          <w:tab w:val="left" w:pos="2497"/>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
          <w:bCs w:val="0"/>
          <w:iCs/>
          <w:color w:val="auto"/>
          <w:sz w:val="22"/>
          <w:szCs w:val="22"/>
          <w:u w:val="single"/>
          <w:lang w:val="pt-BR" w:eastAsia="en-US" w:bidi="ar-SA"/>
        </w:rPr>
        <w:t>-</w:t>
      </w:r>
      <w:r>
        <w:rPr>
          <w:rFonts w:ascii="Arial" w:hAnsi="Arial" w:eastAsia="Verdana" w:cs="Arial"/>
          <w:b/>
          <w:bCs w:val="0"/>
          <w:iCs/>
          <w:color w:val="auto"/>
          <w:sz w:val="22"/>
          <w:szCs w:val="22"/>
          <w:u w:val="single"/>
          <w:lang w:val="pt-PT" w:eastAsia="en-US" w:bidi="ar-SA"/>
        </w:rPr>
        <w:t>Almoxarifado Central</w:t>
      </w:r>
      <w:r>
        <w:rPr>
          <w:rFonts w:ascii="Arial" w:hAnsi="Arial" w:eastAsia="Verdana" w:cs="Arial"/>
          <w:b/>
          <w:bCs w:val="0"/>
          <w:iCs/>
          <w:color w:val="auto"/>
          <w:sz w:val="22"/>
          <w:szCs w:val="22"/>
          <w:lang w:val="pt-PT" w:eastAsia="en-US" w:bidi="ar-SA"/>
        </w:rPr>
        <w:t xml:space="preserve"> </w:t>
      </w:r>
      <w:r>
        <w:rPr>
          <w:rFonts w:ascii="Arial" w:hAnsi="Arial" w:eastAsia="Verdana" w:cs="Arial"/>
          <w:bCs/>
          <w:iCs/>
          <w:color w:val="auto"/>
          <w:sz w:val="22"/>
          <w:szCs w:val="22"/>
          <w:lang w:val="pt-PT" w:eastAsia="en-US" w:bidi="ar-SA"/>
        </w:rPr>
        <w:t>– Av. Conselheiro Julius Arp, nº 80, 2º andar, Centro, Nova Friburgo/RJ. CEP: 28623-000. Respeitando os dias de entrega, de segunda-feira a quinta-feira, nos horários de 09:00h às 16:00h;</w:t>
      </w:r>
    </w:p>
    <w:p w14:paraId="5C518E6B">
      <w:pPr>
        <w:pStyle w:val="10"/>
        <w:ind w:right="53" w:rightChars="24"/>
        <w:rPr>
          <w:rFonts w:ascii="Arial" w:hAnsi="Arial" w:eastAsia="Verdana" w:cs="Arial"/>
          <w:bCs/>
          <w:iCs/>
          <w:color w:val="auto"/>
          <w:sz w:val="22"/>
          <w:szCs w:val="22"/>
          <w:lang w:val="pt-PT" w:eastAsia="en-US" w:bidi="ar-SA"/>
        </w:rPr>
      </w:pPr>
    </w:p>
    <w:p w14:paraId="3FD188AC">
      <w:pPr>
        <w:pStyle w:val="10"/>
        <w:spacing w:before="56"/>
        <w:ind w:right="53" w:rightChars="24"/>
        <w:rPr>
          <w:rFonts w:ascii="Arial" w:hAnsi="Arial" w:eastAsia="Verdana" w:cs="Arial"/>
          <w:bCs/>
          <w:iCs/>
          <w:color w:val="auto"/>
          <w:sz w:val="22"/>
          <w:szCs w:val="22"/>
          <w:lang w:val="pt-PT" w:eastAsia="en-US" w:bidi="ar-SA"/>
        </w:rPr>
      </w:pPr>
    </w:p>
    <w:p w14:paraId="00138259">
      <w:pPr>
        <w:pStyle w:val="19"/>
        <w:numPr>
          <w:ilvl w:val="0"/>
          <w:numId w:val="0"/>
        </w:numPr>
        <w:tabs>
          <w:tab w:val="left" w:pos="2451"/>
        </w:tabs>
        <w:spacing w:before="125"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
          <w:bCs w:val="0"/>
          <w:iCs/>
          <w:color w:val="auto"/>
          <w:sz w:val="22"/>
          <w:szCs w:val="22"/>
          <w:u w:val="single"/>
          <w:lang w:val="pt-BR" w:eastAsia="en-US" w:bidi="ar-SA"/>
        </w:rPr>
        <w:t>-</w:t>
      </w:r>
      <w:r>
        <w:rPr>
          <w:rFonts w:ascii="Arial" w:hAnsi="Arial" w:eastAsia="Verdana" w:cs="Arial"/>
          <w:b/>
          <w:bCs w:val="0"/>
          <w:iCs/>
          <w:color w:val="auto"/>
          <w:sz w:val="22"/>
          <w:szCs w:val="22"/>
          <w:u w:val="single"/>
          <w:lang w:val="pt-PT" w:eastAsia="en-US" w:bidi="ar-SA"/>
        </w:rPr>
        <w:t>Farmácia Complementar</w:t>
      </w:r>
      <w:r>
        <w:rPr>
          <w:rFonts w:ascii="Arial" w:hAnsi="Arial" w:eastAsia="Verdana" w:cs="Arial"/>
          <w:bCs/>
          <w:iCs/>
          <w:color w:val="auto"/>
          <w:sz w:val="22"/>
          <w:szCs w:val="22"/>
          <w:lang w:val="pt-PT" w:eastAsia="en-US" w:bidi="ar-SA"/>
        </w:rPr>
        <w:t xml:space="preserve"> – Rua General Osósrio, nº 324 – Centro – Nova Friburgo/RJ – Anexo Posterior ao Ambulatório do Hospital Municipal Raul Sertã – Ao lado do pátio das ambulâncias do 192. Respeitando os dias de entrega, de segunda-feira a quinta-feira, nos horários de 09:00h às 16:00h;</w:t>
      </w:r>
    </w:p>
    <w:p w14:paraId="077C46F5">
      <w:pPr>
        <w:pStyle w:val="10"/>
        <w:spacing w:before="48"/>
        <w:ind w:right="53" w:rightChars="24"/>
        <w:rPr>
          <w:rFonts w:ascii="Arial" w:hAnsi="Arial" w:eastAsia="Verdana" w:cs="Arial"/>
          <w:bCs/>
          <w:iCs/>
          <w:color w:val="auto"/>
          <w:sz w:val="22"/>
          <w:szCs w:val="22"/>
          <w:lang w:val="pt-PT" w:eastAsia="en-US" w:bidi="ar-SA"/>
        </w:rPr>
      </w:pPr>
    </w:p>
    <w:p w14:paraId="45BAE871">
      <w:pPr>
        <w:pStyle w:val="19"/>
        <w:numPr>
          <w:ilvl w:val="0"/>
          <w:numId w:val="0"/>
        </w:numPr>
        <w:tabs>
          <w:tab w:val="left" w:pos="1736"/>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3.1.4 </w:t>
      </w:r>
      <w:r>
        <w:rPr>
          <w:rFonts w:ascii="Arial" w:hAnsi="Arial" w:eastAsia="Verdana" w:cs="Arial"/>
          <w:bCs/>
          <w:iCs/>
          <w:color w:val="auto"/>
          <w:sz w:val="22"/>
          <w:szCs w:val="22"/>
          <w:lang w:val="pt-PT" w:eastAsia="en-US" w:bidi="ar-SA"/>
        </w:rPr>
        <w:t>Os materiais serão recebidos provisoriamente, de forma sumária, no prazo de 2 (dois) dias úteis, pelo(a) responsável pelo acompanhamento e fiscalização do contrato, para efeito de posterior verificação de sua conformidade com as especificações constantes n</w:t>
      </w:r>
      <w:r>
        <w:rPr>
          <w:rFonts w:hint="default" w:ascii="Arial" w:hAnsi="Arial" w:cs="Arial"/>
          <w:bCs/>
          <w:iCs/>
          <w:color w:val="auto"/>
          <w:sz w:val="22"/>
          <w:szCs w:val="22"/>
          <w:lang w:val="pt-BR" w:eastAsia="en-US" w:bidi="ar-SA"/>
        </w:rPr>
        <w:t>o</w:t>
      </w:r>
      <w:r>
        <w:rPr>
          <w:rFonts w:ascii="Arial" w:hAnsi="Arial" w:eastAsia="Verdana" w:cs="Arial"/>
          <w:bCs/>
          <w:iCs/>
          <w:color w:val="auto"/>
          <w:sz w:val="22"/>
          <w:szCs w:val="22"/>
          <w:lang w:val="pt-PT" w:eastAsia="en-US" w:bidi="ar-SA"/>
        </w:rPr>
        <w:t xml:space="preserve"> Termo de Referência e na proposta;</w:t>
      </w:r>
    </w:p>
    <w:p w14:paraId="34C24F92">
      <w:pPr>
        <w:pStyle w:val="19"/>
        <w:numPr>
          <w:ilvl w:val="0"/>
          <w:numId w:val="0"/>
        </w:numPr>
        <w:tabs>
          <w:tab w:val="left" w:pos="1732"/>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3.1.5 </w:t>
      </w:r>
      <w:r>
        <w:rPr>
          <w:rFonts w:ascii="Arial" w:hAnsi="Arial" w:eastAsia="Verdana" w:cs="Arial"/>
          <w:bCs/>
          <w:iCs/>
          <w:color w:val="auto"/>
          <w:sz w:val="22"/>
          <w:szCs w:val="22"/>
          <w:lang w:val="pt-PT" w:eastAsia="en-US" w:bidi="ar-SA"/>
        </w:rPr>
        <w:t>Os materiais poderão ser rejeitados, no todo ou em parte, quando em desacordo com as especificações constantes n</w:t>
      </w:r>
      <w:r>
        <w:rPr>
          <w:rFonts w:hint="default" w:ascii="Arial" w:hAnsi="Arial" w:cs="Arial"/>
          <w:bCs/>
          <w:iCs/>
          <w:color w:val="auto"/>
          <w:sz w:val="22"/>
          <w:szCs w:val="22"/>
          <w:lang w:val="pt-BR" w:eastAsia="en-US" w:bidi="ar-SA"/>
        </w:rPr>
        <w:t>o</w:t>
      </w:r>
      <w:r>
        <w:rPr>
          <w:rFonts w:ascii="Arial" w:hAnsi="Arial" w:eastAsia="Verdana" w:cs="Arial"/>
          <w:bCs/>
          <w:iCs/>
          <w:color w:val="auto"/>
          <w:sz w:val="22"/>
          <w:szCs w:val="22"/>
          <w:lang w:val="pt-PT" w:eastAsia="en-US" w:bidi="ar-SA"/>
        </w:rPr>
        <w:t xml:space="preserve"> Termo de Referência e na proposta, devendo ser substituídos no prazo de 3 (três) dias úteis, a contar da notificação da contratada, às suas custas, sem prejuízo da aplicação das penalidades;</w:t>
      </w:r>
    </w:p>
    <w:p w14:paraId="712E3831">
      <w:pPr>
        <w:pStyle w:val="19"/>
        <w:numPr>
          <w:ilvl w:val="0"/>
          <w:numId w:val="0"/>
        </w:numPr>
        <w:tabs>
          <w:tab w:val="left" w:pos="1760"/>
        </w:tabs>
        <w:spacing w:before="1"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3.1.6 </w:t>
      </w:r>
      <w:r>
        <w:rPr>
          <w:rFonts w:ascii="Arial" w:hAnsi="Arial" w:eastAsia="Verdana" w:cs="Arial"/>
          <w:bCs/>
          <w:iCs/>
          <w:color w:val="auto"/>
          <w:sz w:val="22"/>
          <w:szCs w:val="22"/>
          <w:lang w:val="pt-PT" w:eastAsia="en-US" w:bidi="ar-SA"/>
        </w:rPr>
        <w:t>Os materiais serão recebidos definitivamente no prazo de 2 (dois) dias úteis, contados do recebimento provisório, após a verificação da qualidade e quantidade do material e consequente aceitação mediante termo detalhado;</w:t>
      </w:r>
    </w:p>
    <w:p w14:paraId="3845E904">
      <w:pPr>
        <w:pStyle w:val="19"/>
        <w:numPr>
          <w:ilvl w:val="0"/>
          <w:numId w:val="0"/>
        </w:numPr>
        <w:tabs>
          <w:tab w:val="left" w:pos="1720"/>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3.1.7 </w:t>
      </w:r>
      <w:r>
        <w:rPr>
          <w:rFonts w:ascii="Arial" w:hAnsi="Arial" w:eastAsia="Verdana" w:cs="Arial"/>
          <w:bCs/>
          <w:iCs/>
          <w:color w:val="auto"/>
          <w:sz w:val="22"/>
          <w:szCs w:val="22"/>
          <w:lang w:val="pt-PT" w:eastAsia="en-US" w:bidi="ar-SA"/>
        </w:rPr>
        <w:t>Na hipótese de a verificação a que se refere o subitem anterior não ser procedida dentro do prazo fixado, reputar-se-á como realizada, consumando-se o recebimento definitivo no dia do esgotamento do prazo;</w:t>
      </w:r>
    </w:p>
    <w:p w14:paraId="0D668FEB">
      <w:pPr>
        <w:pStyle w:val="19"/>
        <w:numPr>
          <w:ilvl w:val="0"/>
          <w:numId w:val="0"/>
        </w:numPr>
        <w:tabs>
          <w:tab w:val="left" w:pos="1724"/>
        </w:tabs>
        <w:spacing w:before="1"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3.1.8 </w:t>
      </w:r>
      <w:r>
        <w:rPr>
          <w:rFonts w:ascii="Arial" w:hAnsi="Arial" w:eastAsia="Verdana" w:cs="Arial"/>
          <w:bCs/>
          <w:iCs/>
          <w:color w:val="auto"/>
          <w:sz w:val="22"/>
          <w:szCs w:val="22"/>
          <w:lang w:val="pt-PT" w:eastAsia="en-US" w:bidi="ar-SA"/>
        </w:rPr>
        <w:t>O recebimento provisório ou definitivo não excluirá a responsabilidade civil pela solidez e pela segurança do serviço nem a responsabilidade ético-profissional pela perfeita execução do contrato;</w:t>
      </w:r>
    </w:p>
    <w:p w14:paraId="06A9DCAA">
      <w:pPr>
        <w:pStyle w:val="19"/>
        <w:numPr>
          <w:ilvl w:val="0"/>
          <w:numId w:val="0"/>
        </w:numPr>
        <w:tabs>
          <w:tab w:val="left" w:pos="1770"/>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3.1.9 </w:t>
      </w:r>
      <w:r>
        <w:rPr>
          <w:rFonts w:ascii="Arial" w:hAnsi="Arial" w:eastAsia="Verdana" w:cs="Arial"/>
          <w:bCs/>
          <w:iCs/>
          <w:color w:val="auto"/>
          <w:sz w:val="22"/>
          <w:szCs w:val="22"/>
          <w:lang w:val="pt-PT" w:eastAsia="en-US" w:bidi="ar-SA"/>
        </w:rPr>
        <w:t>Não cabe para o objeto do presente, prazo de garantia contratual dos bens, complementar à garantia legal.</w:t>
      </w:r>
    </w:p>
    <w:p w14:paraId="62582AF2">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p>
    <w:p w14:paraId="6743FD4C">
      <w:pPr>
        <w:pStyle w:val="2"/>
        <w:numPr>
          <w:ilvl w:val="0"/>
          <w:numId w:val="0"/>
        </w:numPr>
        <w:tabs>
          <w:tab w:val="left" w:pos="950"/>
        </w:tabs>
        <w:rPr>
          <w:rFonts w:ascii="Arial" w:hAnsi="Arial" w:eastAsia="Verdana" w:cs="Arial"/>
          <w:bCs/>
          <w:iCs/>
          <w:color w:val="auto"/>
          <w:sz w:val="22"/>
          <w:szCs w:val="22"/>
          <w:u w:val="single"/>
          <w:lang w:val="pt-PT" w:eastAsia="en-US" w:bidi="ar-SA"/>
        </w:rPr>
      </w:pPr>
      <w:r>
        <w:rPr>
          <w:rFonts w:hint="default" w:eastAsia="Verdana" w:cs="Arial"/>
          <w:bCs/>
          <w:iCs/>
          <w:color w:val="auto"/>
          <w:sz w:val="22"/>
          <w:szCs w:val="22"/>
          <w:u w:val="single"/>
          <w:lang w:val="pt-BR" w:eastAsia="en-US" w:bidi="ar-SA"/>
        </w:rPr>
        <w:t xml:space="preserve">3.2 </w:t>
      </w:r>
      <w:r>
        <w:rPr>
          <w:rFonts w:ascii="Arial" w:hAnsi="Arial" w:eastAsia="Verdana" w:cs="Arial"/>
          <w:bCs/>
          <w:iCs/>
          <w:color w:val="auto"/>
          <w:sz w:val="22"/>
          <w:szCs w:val="22"/>
          <w:u w:val="single"/>
          <w:lang w:val="pt-PT" w:eastAsia="en-US" w:bidi="ar-SA"/>
        </w:rPr>
        <w:t>GEST</w:t>
      </w:r>
      <w:r>
        <w:rPr>
          <w:rFonts w:hint="default" w:eastAsia="Verdana" w:cs="Arial"/>
          <w:bCs/>
          <w:iCs/>
          <w:color w:val="auto"/>
          <w:sz w:val="22"/>
          <w:szCs w:val="22"/>
          <w:u w:val="single"/>
          <w:lang w:val="pt-BR" w:eastAsia="en-US" w:bidi="ar-SA"/>
        </w:rPr>
        <w:t>Ã</w:t>
      </w:r>
      <w:r>
        <w:rPr>
          <w:rFonts w:ascii="Arial" w:hAnsi="Arial" w:eastAsia="Verdana" w:cs="Arial"/>
          <w:bCs/>
          <w:iCs/>
          <w:color w:val="auto"/>
          <w:sz w:val="22"/>
          <w:szCs w:val="22"/>
          <w:u w:val="single"/>
          <w:lang w:val="pt-PT" w:eastAsia="en-US" w:bidi="ar-SA"/>
        </w:rPr>
        <w:t>O DO CONTRATO</w:t>
      </w:r>
    </w:p>
    <w:p w14:paraId="36593DFA">
      <w:pPr>
        <w:pStyle w:val="10"/>
        <w:spacing w:before="94"/>
        <w:rPr>
          <w:rFonts w:ascii="Arial" w:hAnsi="Arial" w:eastAsia="Verdana" w:cs="Arial"/>
          <w:bCs/>
          <w:iCs/>
          <w:color w:val="auto"/>
          <w:sz w:val="22"/>
          <w:szCs w:val="22"/>
          <w:lang w:val="pt-PT" w:eastAsia="en-US" w:bidi="ar-SA"/>
        </w:rPr>
      </w:pPr>
    </w:p>
    <w:p w14:paraId="18AB72D8">
      <w:pPr>
        <w:pStyle w:val="19"/>
        <w:numPr>
          <w:ilvl w:val="0"/>
          <w:numId w:val="0"/>
        </w:numPr>
        <w:tabs>
          <w:tab w:val="left" w:pos="1705"/>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 </w:t>
      </w:r>
      <w:r>
        <w:rPr>
          <w:rFonts w:ascii="Arial" w:hAnsi="Arial" w:eastAsia="Verdana" w:cs="Arial"/>
          <w:bCs/>
          <w:iCs/>
          <w:color w:val="auto"/>
          <w:sz w:val="22"/>
          <w:szCs w:val="22"/>
          <w:lang w:val="pt-PT" w:eastAsia="en-US" w:bidi="ar-SA"/>
        </w:rPr>
        <w:t>O contrato deverá ser executado fielmente pelas partes, de acordo com as cláusulas avençadas e as normas da Lei nº 14.133, de 2021, e cada parte responderá pelas consequências de sua inexecução total ou parcial (Lei nº 14.133/2021, art. 115, caput);</w:t>
      </w:r>
    </w:p>
    <w:p w14:paraId="4EBD2173">
      <w:pPr>
        <w:pStyle w:val="19"/>
        <w:numPr>
          <w:ilvl w:val="0"/>
          <w:numId w:val="0"/>
        </w:numPr>
        <w:tabs>
          <w:tab w:val="left" w:pos="1760"/>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3.2.2 </w:t>
      </w:r>
      <w:r>
        <w:rPr>
          <w:rFonts w:ascii="Arial" w:hAnsi="Arial" w:eastAsia="Verdana" w:cs="Arial"/>
          <w:bCs/>
          <w:iCs/>
          <w:color w:val="auto"/>
          <w:sz w:val="22"/>
          <w:szCs w:val="22"/>
          <w:lang w:val="pt-PT" w:eastAsia="en-US" w:bidi="ar-SA"/>
        </w:rPr>
        <w:t>Em caso de impedimento, ordem de paralisação ou suspensão do contrato, o cronograma de execução será prorrogado automaticamente pelo tempo correspondente, anotadas tais circunstâncias mediante simples apostila (Lei nº 14.133/2021, art. 115,§5º);</w:t>
      </w:r>
    </w:p>
    <w:p w14:paraId="7EF7E9F9">
      <w:pPr>
        <w:pStyle w:val="19"/>
        <w:numPr>
          <w:ilvl w:val="0"/>
          <w:numId w:val="0"/>
        </w:numPr>
        <w:tabs>
          <w:tab w:val="left" w:pos="1715"/>
        </w:tabs>
        <w:spacing w:line="283"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3.2.3 </w:t>
      </w:r>
      <w:r>
        <w:rPr>
          <w:rFonts w:ascii="Arial" w:hAnsi="Arial" w:eastAsia="Verdana" w:cs="Arial"/>
          <w:bCs/>
          <w:iCs/>
          <w:color w:val="auto"/>
          <w:sz w:val="22"/>
          <w:szCs w:val="22"/>
          <w:lang w:val="pt-PT" w:eastAsia="en-US" w:bidi="ar-SA"/>
        </w:rPr>
        <w:t>A execução do contrato deverá ser acompanhada e fiscalizada pelo(s) fiscal(is) do contrato, ou pelos respectivos substitutos (Lei nº 14.133/2021, art. 117, caput);</w:t>
      </w:r>
    </w:p>
    <w:p w14:paraId="0C6936DC">
      <w:pPr>
        <w:pStyle w:val="19"/>
        <w:numPr>
          <w:ilvl w:val="0"/>
          <w:numId w:val="0"/>
        </w:numPr>
        <w:tabs>
          <w:tab w:val="left" w:pos="2511"/>
        </w:tabs>
        <w:spacing w:before="125"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3.2.4 </w:t>
      </w:r>
      <w:r>
        <w:rPr>
          <w:rFonts w:ascii="Arial" w:hAnsi="Arial" w:eastAsia="Verdana" w:cs="Arial"/>
          <w:bCs/>
          <w:iCs/>
          <w:color w:val="auto"/>
          <w:sz w:val="22"/>
          <w:szCs w:val="22"/>
          <w:lang w:val="pt-PT" w:eastAsia="en-US" w:bidi="ar-SA"/>
        </w:rPr>
        <w:t>O fiscal do contrato anotará em registro próprio todas as ocorrências relacionadas à execução do contrato, determinando o que for necessário para a regularização das faltas ou dos defeitos observados (Lei nº 14.133/2021, art. 117,§1º);</w:t>
      </w:r>
    </w:p>
    <w:p w14:paraId="789713D3">
      <w:pPr>
        <w:pStyle w:val="19"/>
        <w:numPr>
          <w:ilvl w:val="0"/>
          <w:numId w:val="0"/>
        </w:numPr>
        <w:tabs>
          <w:tab w:val="left" w:pos="2480"/>
        </w:tabs>
        <w:spacing w:before="1"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3.2.5 </w:t>
      </w:r>
      <w:r>
        <w:rPr>
          <w:rFonts w:ascii="Arial" w:hAnsi="Arial" w:eastAsia="Verdana" w:cs="Arial"/>
          <w:bCs/>
          <w:iCs/>
          <w:color w:val="auto"/>
          <w:sz w:val="22"/>
          <w:szCs w:val="22"/>
          <w:lang w:val="pt-PT" w:eastAsia="en-US" w:bidi="ar-SA"/>
        </w:rPr>
        <w:t>O fiscal do contrato informará a seus superiores, em tempo hábil para a adoção das medidas convenientes, a situação que demandar decisão ou providência que ultrapasse sua competência (Lei nº 14.133/2021, art. 117, §2º);</w:t>
      </w:r>
    </w:p>
    <w:p w14:paraId="7F172D51">
      <w:pPr>
        <w:pStyle w:val="19"/>
        <w:numPr>
          <w:ilvl w:val="0"/>
          <w:numId w:val="0"/>
        </w:numPr>
        <w:tabs>
          <w:tab w:val="left" w:pos="2502"/>
        </w:tabs>
        <w:spacing w:before="1"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3.2.6 </w:t>
      </w:r>
      <w:r>
        <w:rPr>
          <w:rFonts w:ascii="Arial" w:hAnsi="Arial" w:eastAsia="Verdana" w:cs="Arial"/>
          <w:bCs/>
          <w:iCs/>
          <w:color w:val="auto"/>
          <w:sz w:val="22"/>
          <w:szCs w:val="22"/>
          <w:lang w:val="pt-PT" w:eastAsia="en-US" w:bidi="ar-SA"/>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290345B8">
      <w:pPr>
        <w:pStyle w:val="19"/>
        <w:numPr>
          <w:ilvl w:val="0"/>
          <w:numId w:val="0"/>
        </w:numPr>
        <w:tabs>
          <w:tab w:val="left" w:pos="1722"/>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3.2.7 </w:t>
      </w:r>
      <w:r>
        <w:rPr>
          <w:rFonts w:ascii="Arial" w:hAnsi="Arial" w:eastAsia="Verdana" w:cs="Arial"/>
          <w:bCs/>
          <w:iCs/>
          <w:color w:val="auto"/>
          <w:sz w:val="22"/>
          <w:szCs w:val="22"/>
          <w:lang w:val="pt-PT" w:eastAsia="en-US" w:bidi="ar-SA"/>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F91A912">
      <w:pPr>
        <w:pStyle w:val="19"/>
        <w:numPr>
          <w:ilvl w:val="0"/>
          <w:numId w:val="0"/>
        </w:numPr>
        <w:tabs>
          <w:tab w:val="left" w:pos="1703"/>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3.2.8 </w:t>
      </w:r>
      <w:r>
        <w:rPr>
          <w:rFonts w:ascii="Arial" w:hAnsi="Arial" w:eastAsia="Verdana" w:cs="Arial"/>
          <w:bCs/>
          <w:iCs/>
          <w:color w:val="auto"/>
          <w:sz w:val="22"/>
          <w:szCs w:val="22"/>
          <w:lang w:val="pt-PT" w:eastAsia="en-US" w:bidi="ar-SA"/>
        </w:rPr>
        <w:t>Somente o contratado será responsável pelos encargos trabalhistas, previdenciários, fiscais e comerciais resultantes da execução do contrato (Lei nº 14.133/2021, art. 121, caput);</w:t>
      </w:r>
    </w:p>
    <w:p w14:paraId="148FD73F">
      <w:pPr>
        <w:pStyle w:val="19"/>
        <w:numPr>
          <w:ilvl w:val="0"/>
          <w:numId w:val="0"/>
        </w:numPr>
        <w:tabs>
          <w:tab w:val="left" w:pos="1756"/>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3.2.9 </w:t>
      </w:r>
      <w:r>
        <w:rPr>
          <w:rFonts w:ascii="Arial" w:hAnsi="Arial" w:eastAsia="Verdana" w:cs="Arial"/>
          <w:bCs/>
          <w:iCs/>
          <w:color w:val="auto"/>
          <w:sz w:val="22"/>
          <w:szCs w:val="22"/>
          <w:lang w:val="pt-PT" w:eastAsia="en-US" w:bidi="ar-SA"/>
        </w:rPr>
        <w:t>A inadimplência do contratado em relação aos encargos trabalhistas, fiscais e comerciais não transferirá à Administração a responsabilidade pelo seu pagamento e não poderá onerar o objeto do contrato (Lei nº 14.133/2021, art. 121, §1º);</w:t>
      </w:r>
    </w:p>
    <w:p w14:paraId="7CE91047">
      <w:pPr>
        <w:pStyle w:val="19"/>
        <w:numPr>
          <w:ilvl w:val="0"/>
          <w:numId w:val="0"/>
        </w:numPr>
        <w:tabs>
          <w:tab w:val="left" w:pos="1700"/>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3.2.10 </w:t>
      </w:r>
      <w:r>
        <w:rPr>
          <w:rFonts w:ascii="Arial" w:hAnsi="Arial" w:eastAsia="Verdana" w:cs="Arial"/>
          <w:bCs/>
          <w:iCs/>
          <w:color w:val="auto"/>
          <w:sz w:val="22"/>
          <w:szCs w:val="22"/>
          <w:lang w:val="pt-PT" w:eastAsia="en-US" w:bidi="ar-SA"/>
        </w:rPr>
        <w:t>As comunicações entre o órgão ou entidade e a contratada devem ser realizadas por escrito sempre que o ato exigir tal formalidade, admitindo-se, excepcionalmente, o uso de mensagem eletrônica para esse fim;</w:t>
      </w:r>
    </w:p>
    <w:p w14:paraId="0A21BFDE">
      <w:pPr>
        <w:pStyle w:val="19"/>
        <w:numPr>
          <w:ilvl w:val="0"/>
          <w:numId w:val="0"/>
        </w:numPr>
        <w:tabs>
          <w:tab w:val="left" w:pos="1736"/>
        </w:tabs>
        <w:spacing w:before="1" w:line="283"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3.2.11 </w:t>
      </w:r>
      <w:r>
        <w:rPr>
          <w:rFonts w:ascii="Arial" w:hAnsi="Arial" w:eastAsia="Verdana" w:cs="Arial"/>
          <w:bCs/>
          <w:iCs/>
          <w:color w:val="auto"/>
          <w:sz w:val="22"/>
          <w:szCs w:val="22"/>
          <w:lang w:val="pt-PT" w:eastAsia="en-US" w:bidi="ar-SA"/>
        </w:rPr>
        <w:t>O órgão ou entidade poderá convocar representante da empresa para adoção de providências que devam ser cumpridas de imediato;</w:t>
      </w:r>
    </w:p>
    <w:p w14:paraId="2EB1B9CE">
      <w:pPr>
        <w:pStyle w:val="19"/>
        <w:numPr>
          <w:ilvl w:val="0"/>
          <w:numId w:val="0"/>
        </w:numPr>
        <w:tabs>
          <w:tab w:val="left" w:pos="1698"/>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3.2.12 </w:t>
      </w:r>
      <w:r>
        <w:rPr>
          <w:rFonts w:ascii="Arial" w:hAnsi="Arial" w:eastAsia="Verdana" w:cs="Arial"/>
          <w:bCs/>
          <w:iCs/>
          <w:color w:val="auto"/>
          <w:sz w:val="22"/>
          <w:szCs w:val="22"/>
          <w:lang w:val="pt-PT" w:eastAsia="en-US" w:bidi="ar-SA"/>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5B52D038">
      <w:pPr>
        <w:pStyle w:val="19"/>
        <w:numPr>
          <w:ilvl w:val="0"/>
          <w:numId w:val="0"/>
        </w:numPr>
        <w:tabs>
          <w:tab w:val="left" w:pos="1837"/>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3.2.13 </w:t>
      </w:r>
      <w:r>
        <w:rPr>
          <w:rFonts w:ascii="Arial" w:hAnsi="Arial" w:eastAsia="Verdana" w:cs="Arial"/>
          <w:bCs/>
          <w:iCs/>
          <w:color w:val="auto"/>
          <w:sz w:val="22"/>
          <w:szCs w:val="22"/>
          <w:lang w:val="pt-PT" w:eastAsia="en-US" w:bidi="ar-SA"/>
        </w:rPr>
        <w:t>O acompanhamento, a gestão e a fiscalização da contratação serão exercidas por representantes da Contratante, aos quais competirá dirimir as dúvidas que surgirem no curso da execução do contrato, e de tudo dar ciência à Administração, na forma do disposto no capítulo VI do título III da Lei Federal nº14.133/21;</w:t>
      </w:r>
    </w:p>
    <w:p w14:paraId="05D64804">
      <w:pPr>
        <w:pStyle w:val="19"/>
        <w:numPr>
          <w:ilvl w:val="0"/>
          <w:numId w:val="0"/>
        </w:numPr>
        <w:tabs>
          <w:tab w:val="left" w:pos="1835"/>
        </w:tabs>
        <w:spacing w:before="125"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3.2.14 </w:t>
      </w:r>
      <w:r>
        <w:rPr>
          <w:rFonts w:ascii="Arial" w:hAnsi="Arial" w:eastAsia="Verdana" w:cs="Arial"/>
          <w:bCs/>
          <w:iCs/>
          <w:color w:val="auto"/>
          <w:sz w:val="22"/>
          <w:szCs w:val="22"/>
          <w:lang w:val="pt-PT" w:eastAsia="en-US" w:bidi="ar-SA"/>
        </w:rPr>
        <w:t>Para o acompanhamento, gestão e fiscalização da execução do presente contrato, serão designados em momento posterior, antes da execução do objeto, agentes públicos gestor, gestor substituto, fiscal, e fiscal substituto;</w:t>
      </w:r>
    </w:p>
    <w:p w14:paraId="6657FB4A">
      <w:pPr>
        <w:pStyle w:val="19"/>
        <w:numPr>
          <w:ilvl w:val="0"/>
          <w:numId w:val="0"/>
        </w:numPr>
        <w:tabs>
          <w:tab w:val="left" w:pos="1890"/>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3.2.15 </w:t>
      </w:r>
      <w:r>
        <w:rPr>
          <w:rFonts w:ascii="Arial" w:hAnsi="Arial" w:eastAsia="Verdana" w:cs="Arial"/>
          <w:bCs/>
          <w:iCs/>
          <w:color w:val="auto"/>
          <w:sz w:val="22"/>
          <w:szCs w:val="22"/>
          <w:lang w:val="pt-PT" w:eastAsia="en-US" w:bidi="ar-SA"/>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1802A9AC">
      <w:pPr>
        <w:pStyle w:val="19"/>
        <w:numPr>
          <w:ilvl w:val="0"/>
          <w:numId w:val="0"/>
        </w:numPr>
        <w:tabs>
          <w:tab w:val="left" w:pos="1825"/>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3.2.16 </w:t>
      </w:r>
      <w:r>
        <w:rPr>
          <w:rFonts w:ascii="Arial" w:hAnsi="Arial" w:eastAsia="Verdana" w:cs="Arial"/>
          <w:bCs/>
          <w:iCs/>
          <w:color w:val="auto"/>
          <w:sz w:val="22"/>
          <w:szCs w:val="22"/>
          <w:lang w:val="pt-PT" w:eastAsia="en-US" w:bidi="ar-SA"/>
        </w:rPr>
        <w:t>O(s) fiscal(is) designado pela Contratante deverá ter a experiência necessária para o acompanhamento e controle da execução dos serviços e do contrato;</w:t>
      </w:r>
    </w:p>
    <w:p w14:paraId="15791AFE">
      <w:pPr>
        <w:pStyle w:val="19"/>
        <w:numPr>
          <w:ilvl w:val="0"/>
          <w:numId w:val="0"/>
        </w:numPr>
        <w:tabs>
          <w:tab w:val="left" w:pos="1823"/>
        </w:tabs>
        <w:spacing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3.2.17 </w:t>
      </w:r>
      <w:r>
        <w:rPr>
          <w:rFonts w:ascii="Arial" w:hAnsi="Arial" w:eastAsia="Verdana" w:cs="Arial"/>
          <w:bCs/>
          <w:iCs/>
          <w:color w:val="auto"/>
          <w:sz w:val="22"/>
          <w:szCs w:val="22"/>
          <w:lang w:val="pt-PT" w:eastAsia="en-US" w:bidi="ar-SA"/>
        </w:rPr>
        <w:t>A verificação da adequação da prestação do serviço deverá ser realizada com base nos critérios previstos n</w:t>
      </w:r>
      <w:r>
        <w:rPr>
          <w:rFonts w:hint="default" w:ascii="Arial" w:hAnsi="Arial" w:cs="Arial"/>
          <w:bCs/>
          <w:iCs/>
          <w:color w:val="auto"/>
          <w:sz w:val="22"/>
          <w:szCs w:val="22"/>
          <w:lang w:val="pt-BR" w:eastAsia="en-US" w:bidi="ar-SA"/>
        </w:rPr>
        <w:t>o</w:t>
      </w:r>
      <w:r>
        <w:rPr>
          <w:rFonts w:ascii="Arial" w:hAnsi="Arial" w:eastAsia="Verdana" w:cs="Arial"/>
          <w:bCs/>
          <w:iCs/>
          <w:color w:val="auto"/>
          <w:sz w:val="22"/>
          <w:szCs w:val="22"/>
          <w:lang w:val="pt-PT" w:eastAsia="en-US" w:bidi="ar-SA"/>
        </w:rPr>
        <w:t xml:space="preserve"> Termo de Referência;</w:t>
      </w:r>
    </w:p>
    <w:p w14:paraId="2F6C5D14">
      <w:pPr>
        <w:pStyle w:val="19"/>
        <w:numPr>
          <w:ilvl w:val="0"/>
          <w:numId w:val="0"/>
        </w:numPr>
        <w:tabs>
          <w:tab w:val="left" w:pos="1820"/>
        </w:tabs>
        <w:spacing w:before="1" w:line="280" w:lineRule="auto"/>
        <w:ind w:right="53" w:rightChars="24"/>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3.2.18 </w:t>
      </w:r>
      <w:r>
        <w:rPr>
          <w:rFonts w:ascii="Arial" w:hAnsi="Arial" w:eastAsia="Verdana" w:cs="Arial"/>
          <w:bCs/>
          <w:iCs/>
          <w:color w:val="auto"/>
          <w:sz w:val="22"/>
          <w:szCs w:val="22"/>
          <w:lang w:val="pt-PT" w:eastAsia="en-US" w:bidi="ar-SA"/>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6B3B9C8F">
      <w:pPr>
        <w:pStyle w:val="10"/>
        <w:spacing w:before="47"/>
        <w:ind w:right="53" w:rightChars="24"/>
        <w:rPr>
          <w:rFonts w:ascii="Arial" w:hAnsi="Arial" w:eastAsia="Verdana" w:cs="Arial"/>
          <w:bCs/>
          <w:iCs/>
          <w:color w:val="auto"/>
          <w:sz w:val="22"/>
          <w:szCs w:val="22"/>
          <w:lang w:val="pt-PT" w:eastAsia="en-US" w:bidi="ar-SA"/>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3AD7F4C1">
      <w:pPr>
        <w:pStyle w:val="19"/>
        <w:tabs>
          <w:tab w:val="left" w:pos="284"/>
        </w:tabs>
        <w:spacing w:line="276" w:lineRule="auto"/>
        <w:ind w:left="0"/>
        <w:jc w:val="both"/>
        <w:rPr>
          <w:rFonts w:ascii="Arial" w:hAnsi="Arial" w:cs="Arial"/>
          <w:b/>
          <w:bCs w:val="0"/>
          <w:iCs/>
        </w:rPr>
      </w:pPr>
      <w:r>
        <w:rPr>
          <w:rFonts w:hint="default" w:ascii="Arial" w:hAnsi="Arial" w:cs="Arial" w:eastAsiaTheme="majorEastAsia"/>
          <w:b w:val="0"/>
          <w:bCs w:val="0"/>
          <w:lang w:val="en-US" w:eastAsia="pt-BR"/>
        </w:rPr>
        <w:t xml:space="preserve">6.1 </w:t>
      </w:r>
      <w:r>
        <w:rPr>
          <w:rFonts w:ascii="Arial" w:hAnsi="Arial" w:cs="Arial"/>
          <w:bCs/>
          <w:iCs/>
        </w:rPr>
        <w:t xml:space="preserve">As notas fiscais deverão ser emitidas em nome do </w:t>
      </w:r>
      <w:r>
        <w:rPr>
          <w:rFonts w:ascii="Arial" w:hAnsi="Arial" w:cs="Arial"/>
          <w:b/>
          <w:bCs w:val="0"/>
          <w:iCs/>
        </w:rPr>
        <w:t>FUNDO MUNICIPAL DE SAÚDE, CNPJ: 11.399.442/0001-79 – AVENIDA ALBERTO BRAUNE, Nº 224 SALA 221 – CENTRO – NOVA FRIBURGO/RJ – CEP 28613-001;</w:t>
      </w:r>
    </w:p>
    <w:p w14:paraId="75DB45D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6.2 </w:t>
      </w:r>
      <w:r>
        <w:rPr>
          <w:rFonts w:ascii="Arial" w:hAnsi="Arial" w:cs="Arial"/>
          <w:bCs/>
          <w:iCs/>
        </w:rPr>
        <w:t>Liquidação da Despesa:</w:t>
      </w:r>
    </w:p>
    <w:p w14:paraId="14F342E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6.2.1 </w:t>
      </w:r>
      <w:r>
        <w:rPr>
          <w:rFonts w:ascii="Arial" w:hAnsi="Arial" w:cs="Arial"/>
          <w:bCs/>
          <w:iCs/>
        </w:rPr>
        <w:t xml:space="preserve">A liquidação será realizada pela Secretaria de Fazenda, a partir do cumprimento das obrigações elencadas neste Termo de Referência, em obediência ao Decreto nº 2493, de 07 de novembro de 2023 e ao Decreto nº 3.116 de 18 de setembro de 2024. </w:t>
      </w:r>
      <w:r>
        <w:rPr>
          <w:rFonts w:ascii="Arial" w:hAnsi="Arial" w:cs="Arial"/>
          <w:bCs/>
          <w:iCs/>
        </w:rPr>
        <w:fldChar w:fldCharType="begin"/>
      </w:r>
      <w:r>
        <w:rPr>
          <w:rFonts w:ascii="Arial" w:hAnsi="Arial" w:cs="Arial"/>
          <w:bCs/>
          <w:iCs/>
        </w:rPr>
        <w:instrText xml:space="preserve"> HYPERLINK "https://pmnf.rj.gov.br/paginas-centralizadas/9_64_Legislacoes.html." </w:instrText>
      </w:r>
      <w:r>
        <w:rPr>
          <w:rFonts w:ascii="Arial" w:hAnsi="Arial" w:cs="Arial"/>
          <w:bCs/>
          <w:iCs/>
        </w:rPr>
        <w:fldChar w:fldCharType="separate"/>
      </w:r>
      <w:r>
        <w:rPr>
          <w:rFonts w:ascii="Arial" w:hAnsi="Arial" w:cs="Arial"/>
          <w:bCs/>
          <w:iCs/>
        </w:rPr>
        <w:t>https://pmnf.rj.gov.br/paginas-centralizadas/9_64_Legislacoes.html.</w:t>
      </w:r>
      <w:r>
        <w:rPr>
          <w:rFonts w:ascii="Arial" w:hAnsi="Arial" w:cs="Arial"/>
          <w:bCs/>
          <w:iCs/>
        </w:rPr>
        <w:fldChar w:fldCharType="end"/>
      </w:r>
      <w:r>
        <w:rPr>
          <w:rFonts w:ascii="Arial" w:hAnsi="Arial" w:cs="Arial"/>
          <w:bCs/>
          <w:iCs/>
        </w:rPr>
        <w:t>;</w:t>
      </w:r>
    </w:p>
    <w:p w14:paraId="6C17F8A3">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6.2.2 </w:t>
      </w:r>
      <w:r>
        <w:rPr>
          <w:rFonts w:ascii="Arial" w:hAnsi="Arial" w:cs="Arial"/>
          <w:bCs/>
          <w:iCs/>
        </w:rPr>
        <w:t>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https://pmnf.rj.gov.br/paginas-centralizadas/9_64_Legislacoes.html;</w:t>
      </w:r>
    </w:p>
    <w:p w14:paraId="081AF98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 </w:t>
      </w:r>
      <w:r>
        <w:rPr>
          <w:rFonts w:ascii="Arial" w:hAnsi="Arial" w:cs="Arial"/>
          <w:bCs/>
          <w:iCs/>
        </w:rPr>
        <w:t>Pagamento da Despesa:</w:t>
      </w:r>
    </w:p>
    <w:p w14:paraId="4C89770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6.3.1 </w:t>
      </w:r>
      <w:r>
        <w:rPr>
          <w:rFonts w:ascii="Arial" w:hAnsi="Arial" w:cs="Arial"/>
          <w:bCs/>
          <w:iCs/>
        </w:rPr>
        <w:t>O pagamento será efetuado conforme estabelece o Decreto n° 2493 de 07 de novembro de 2023, desde que as certidões listadas abaixo estejam dentro da validade:</w:t>
      </w:r>
    </w:p>
    <w:p w14:paraId="72A4263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6.3.1.1 </w:t>
      </w:r>
      <w:r>
        <w:rPr>
          <w:rFonts w:ascii="Arial" w:hAnsi="Arial" w:cs="Arial"/>
          <w:bCs/>
          <w:iCs/>
        </w:rPr>
        <w:t>Negativa de Débitos Trabalhistas;</w:t>
      </w:r>
    </w:p>
    <w:p w14:paraId="428BF3A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6.3.1.2 </w:t>
      </w:r>
      <w:r>
        <w:rPr>
          <w:rFonts w:ascii="Arial" w:hAnsi="Arial" w:cs="Arial"/>
          <w:bCs/>
          <w:iCs/>
        </w:rPr>
        <w:t>Fazenda Federal – Abrange as contribuições sociais;</w:t>
      </w:r>
    </w:p>
    <w:p w14:paraId="7F692B3A">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6.3.1.3 </w:t>
      </w:r>
      <w:r>
        <w:rPr>
          <w:rFonts w:ascii="Arial" w:hAnsi="Arial" w:cs="Arial"/>
          <w:bCs/>
          <w:iCs/>
        </w:rPr>
        <w:t>FGTS;</w:t>
      </w:r>
    </w:p>
    <w:p w14:paraId="19CA9B73">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6.3.1.4 </w:t>
      </w:r>
      <w:r>
        <w:rPr>
          <w:rFonts w:ascii="Arial" w:hAnsi="Arial" w:cs="Arial"/>
          <w:bCs/>
          <w:iCs/>
        </w:rPr>
        <w:t>PGE – Referente à Divida Ativa Estadual;</w:t>
      </w:r>
    </w:p>
    <w:p w14:paraId="619C7F4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6.3.1.5 </w:t>
      </w:r>
      <w:r>
        <w:rPr>
          <w:rFonts w:ascii="Arial" w:hAnsi="Arial" w:cs="Arial"/>
          <w:bCs/>
          <w:iCs/>
        </w:rPr>
        <w:t>Municipal – Referente ao ISS e Dívida Ativa;</w:t>
      </w:r>
    </w:p>
    <w:p w14:paraId="5656A06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6.3.1.6 </w:t>
      </w:r>
      <w:r>
        <w:rPr>
          <w:rFonts w:ascii="Arial" w:hAnsi="Arial" w:cs="Arial"/>
          <w:bCs/>
          <w:iCs/>
        </w:rPr>
        <w:t>Estadual CND – Referente ao ICMS;</w:t>
      </w:r>
    </w:p>
    <w:p w14:paraId="037C0F13">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6.4 </w:t>
      </w:r>
      <w:r>
        <w:rPr>
          <w:rFonts w:ascii="Arial" w:hAnsi="Arial" w:cs="Arial"/>
          <w:bCs/>
          <w:iCs/>
        </w:rPr>
        <w:t>A Nota Fiscal deverá conter identificação do Banco, número da agência e da Conta- Corrente, para que possibilite o CONTRATANTE efetuar o pagamento do valor devido;</w:t>
      </w:r>
    </w:p>
    <w:p w14:paraId="16B6D56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6.5 </w:t>
      </w:r>
      <w:r>
        <w:rPr>
          <w:rFonts w:ascii="Arial" w:hAnsi="Arial" w:cs="Arial"/>
          <w:bCs/>
          <w:iCs/>
        </w:rPr>
        <w:t>Na ocorrência de rejeição da(s) Nota(s) Fiscal (s), motivada por erro ou incorreções, o prazo para pagamento estipulado acima passará a ser contado a partir da data de sua reapresentação;</w:t>
      </w:r>
    </w:p>
    <w:p w14:paraId="4C9A66A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6.6 </w:t>
      </w:r>
      <w:r>
        <w:rPr>
          <w:rFonts w:ascii="Arial" w:hAnsi="Arial" w:cs="Arial"/>
          <w:bCs/>
          <w:iCs/>
        </w:rPr>
        <w:t xml:space="preserve">Consoante o artigo 45 da Lei nº 9.784, de 1999, a Administração Pública poderá, sem a prévia manifestação do interessado, motivadamente, adotar providências acauteladoras, inclusive retendo o </w:t>
      </w:r>
      <w:r>
        <w:rPr>
          <w:rFonts w:ascii="Arial" w:hAnsi="Arial" w:cs="Arial"/>
          <w:bCs/>
          <w:iCs/>
          <w:lang w:val="pt-BR"/>
        </w:rPr>
        <w:t>pagamento</w:t>
      </w:r>
      <w:r>
        <w:rPr>
          <w:rFonts w:ascii="Arial" w:hAnsi="Arial" w:cs="Arial"/>
          <w:bCs/>
          <w:iCs/>
        </w:rPr>
        <w:t xml:space="preserve"> em caso de r</w:t>
      </w:r>
      <w:r>
        <w:rPr>
          <w:rFonts w:hint="default" w:ascii="Arial" w:hAnsi="Arial" w:cs="Arial"/>
          <w:bCs/>
          <w:iCs/>
          <w:lang w:val="pt-BR"/>
        </w:rPr>
        <w:t xml:space="preserve">isco </w:t>
      </w:r>
      <w:r>
        <w:rPr>
          <w:rFonts w:ascii="Arial" w:hAnsi="Arial" w:cs="Arial"/>
          <w:bCs/>
          <w:iCs/>
        </w:rPr>
        <w:t>iminente, como forma de prevenir a ocorrência de dano de difícil ou impossível reparação.</w:t>
      </w:r>
    </w:p>
    <w:p w14:paraId="1A570EB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6.7 </w:t>
      </w:r>
      <w:r>
        <w:rPr>
          <w:rFonts w:ascii="Arial" w:hAnsi="Arial" w:cs="Arial"/>
          <w:bCs/>
          <w:iCs/>
        </w:rPr>
        <w:t>O pagamento será efetuado pelo Município de Nova Friburgo mediante</w:t>
      </w:r>
      <w:r>
        <w:rPr>
          <w:rFonts w:hint="default" w:ascii="Arial" w:hAnsi="Arial" w:cs="Arial"/>
          <w:bCs/>
          <w:iCs/>
          <w:lang w:val="pt-BR"/>
        </w:rPr>
        <w:t xml:space="preserve"> </w:t>
      </w:r>
      <w:r>
        <w:rPr>
          <w:rFonts w:ascii="Arial" w:hAnsi="Arial" w:cs="Arial"/>
          <w:bCs/>
          <w:iCs/>
        </w:rPr>
        <w:t>crédito em conta-corrente da contratada, até o 30º (trigésimo) dia corrido, a contar da atestação da Nota Fiscal apresentada pela contrata</w:t>
      </w:r>
      <w:bookmarkStart w:id="4" w:name="_GoBack"/>
      <w:bookmarkEnd w:id="4"/>
      <w:r>
        <w:rPr>
          <w:rFonts w:ascii="Arial" w:hAnsi="Arial" w:cs="Arial"/>
          <w:bCs/>
          <w:iCs/>
        </w:rPr>
        <w:t>da, desde que cumpridas as formalidades legais e contratuais previstas, e de acordo com o Decreto Municipal nº 2493, de 07 de novembro de 2023.</w:t>
      </w:r>
    </w:p>
    <w:p w14:paraId="736F345F">
      <w:pPr>
        <w:pStyle w:val="10"/>
        <w:spacing w:before="94"/>
        <w:rPr>
          <w:rFonts w:asciiTheme="minorHAnsi" w:hAnsiTheme="minorHAnsi" w:cstheme="minorHAnsi"/>
          <w:sz w:val="22"/>
          <w:szCs w:val="22"/>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5"/>
        <w:numPr>
          <w:ilvl w:val="1"/>
          <w:numId w:val="3"/>
        </w:numPr>
        <w:rPr>
          <w:sz w:val="22"/>
          <w:szCs w:val="22"/>
        </w:rPr>
      </w:pPr>
      <w:r>
        <w:rPr>
          <w:sz w:val="22"/>
          <w:szCs w:val="22"/>
        </w:rPr>
        <w:t xml:space="preserve">Guardar sigilo sobre todas as informações obtidas em decorrência do cumprimento do contrato; </w:t>
      </w:r>
    </w:p>
    <w:p w14:paraId="65F8514E">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0A5F290F">
      <w:pPr>
        <w:pStyle w:val="19"/>
        <w:numPr>
          <w:ilvl w:val="0"/>
          <w:numId w:val="0"/>
        </w:numPr>
        <w:tabs>
          <w:tab w:val="left" w:pos="426"/>
        </w:tabs>
        <w:ind w:leftChars="0"/>
        <w:jc w:val="both"/>
        <w:rPr>
          <w:rFonts w:ascii="Arial" w:hAnsi="Arial" w:cs="Arial"/>
        </w:rPr>
      </w:pPr>
      <w:r>
        <w:rPr>
          <w:rFonts w:hint="default" w:ascii="Arial" w:hAnsi="Arial" w:cs="Arial"/>
          <w:lang w:val="pt-BR"/>
        </w:rPr>
        <w:t xml:space="preserve">13.1 </w:t>
      </w:r>
      <w:r>
        <w:rPr>
          <w:rFonts w:ascii="Arial" w:hAnsi="Arial" w:cs="Arial"/>
        </w:rPr>
        <w:t>As despesas decorrentes da presente contratação correrão à conta de recursos específicos consignados no Orçamento do Município;</w:t>
      </w:r>
    </w:p>
    <w:p w14:paraId="7FB6D706">
      <w:pPr>
        <w:pStyle w:val="19"/>
        <w:numPr>
          <w:ilvl w:val="0"/>
          <w:numId w:val="0"/>
        </w:numPr>
        <w:tabs>
          <w:tab w:val="left" w:pos="426"/>
        </w:tabs>
        <w:ind w:leftChars="0"/>
        <w:jc w:val="both"/>
        <w:rPr>
          <w:rFonts w:ascii="Arial" w:hAnsi="Arial" w:cs="Arial"/>
        </w:rPr>
      </w:pPr>
      <w:r>
        <w:rPr>
          <w:rFonts w:hint="default" w:ascii="Arial" w:hAnsi="Arial" w:cs="Arial"/>
          <w:lang w:val="pt-BR"/>
        </w:rPr>
        <w:t xml:space="preserve">13.2 </w:t>
      </w:r>
      <w:r>
        <w:rPr>
          <w:rFonts w:ascii="Arial" w:hAnsi="Arial" w:cs="Arial"/>
        </w:rPr>
        <w:t>A contratação será atendida pela seguinte dotação:</w:t>
      </w:r>
    </w:p>
    <w:p w14:paraId="2463F253">
      <w:pPr>
        <w:pStyle w:val="19"/>
        <w:numPr>
          <w:ilvl w:val="0"/>
          <w:numId w:val="0"/>
        </w:numPr>
        <w:tabs>
          <w:tab w:val="left" w:pos="426"/>
        </w:tabs>
        <w:ind w:leftChars="0"/>
        <w:jc w:val="both"/>
        <w:rPr>
          <w:rFonts w:ascii="Arial" w:hAnsi="Arial" w:cs="Arial"/>
        </w:rPr>
      </w:pPr>
    </w:p>
    <w:tbl>
      <w:tblPr>
        <w:tblStyle w:val="18"/>
        <w:tblW w:w="9555" w:type="dxa"/>
        <w:tblInd w:w="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30"/>
        <w:gridCol w:w="2985"/>
        <w:gridCol w:w="1260"/>
        <w:gridCol w:w="1380"/>
      </w:tblGrid>
      <w:tr w14:paraId="1C6F2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3930" w:type="dxa"/>
            <w:shd w:val="clear" w:color="auto" w:fill="D0CECE"/>
          </w:tcPr>
          <w:p w14:paraId="2954186B">
            <w:pPr>
              <w:pStyle w:val="19"/>
              <w:numPr>
                <w:ilvl w:val="0"/>
                <w:numId w:val="0"/>
              </w:numPr>
              <w:tabs>
                <w:tab w:val="left" w:pos="426"/>
              </w:tabs>
              <w:ind w:leftChars="0"/>
              <w:jc w:val="both"/>
              <w:rPr>
                <w:rFonts w:ascii="Arial" w:hAnsi="Arial" w:cs="Arial"/>
              </w:rPr>
            </w:pPr>
          </w:p>
          <w:p w14:paraId="1A39988A">
            <w:pPr>
              <w:pStyle w:val="19"/>
              <w:numPr>
                <w:ilvl w:val="0"/>
                <w:numId w:val="0"/>
              </w:numPr>
              <w:tabs>
                <w:tab w:val="left" w:pos="426"/>
              </w:tabs>
              <w:ind w:leftChars="0"/>
              <w:jc w:val="center"/>
              <w:rPr>
                <w:rFonts w:ascii="Arial" w:hAnsi="Arial" w:cs="Arial"/>
              </w:rPr>
            </w:pPr>
            <w:r>
              <w:rPr>
                <w:rFonts w:ascii="Arial" w:hAnsi="Arial" w:cs="Arial"/>
                <w:b/>
                <w:bCs/>
              </w:rPr>
              <w:t>Unidades</w:t>
            </w:r>
          </w:p>
        </w:tc>
        <w:tc>
          <w:tcPr>
            <w:tcW w:w="2985" w:type="dxa"/>
            <w:shd w:val="clear" w:color="auto" w:fill="D0CECE"/>
          </w:tcPr>
          <w:p w14:paraId="2E9DAD8A">
            <w:pPr>
              <w:pStyle w:val="19"/>
              <w:numPr>
                <w:ilvl w:val="0"/>
                <w:numId w:val="0"/>
              </w:numPr>
              <w:tabs>
                <w:tab w:val="left" w:pos="426"/>
              </w:tabs>
              <w:ind w:leftChars="0"/>
              <w:jc w:val="both"/>
              <w:rPr>
                <w:rFonts w:ascii="Arial" w:hAnsi="Arial" w:cs="Arial"/>
                <w:b/>
                <w:bCs/>
              </w:rPr>
            </w:pPr>
          </w:p>
          <w:p w14:paraId="721764F1">
            <w:pPr>
              <w:pStyle w:val="19"/>
              <w:numPr>
                <w:ilvl w:val="0"/>
                <w:numId w:val="0"/>
              </w:numPr>
              <w:tabs>
                <w:tab w:val="left" w:pos="426"/>
              </w:tabs>
              <w:ind w:leftChars="0"/>
              <w:jc w:val="center"/>
              <w:rPr>
                <w:rFonts w:ascii="Arial" w:hAnsi="Arial" w:cs="Arial"/>
                <w:b/>
                <w:bCs/>
              </w:rPr>
            </w:pPr>
            <w:r>
              <w:rPr>
                <w:rFonts w:ascii="Arial" w:hAnsi="Arial" w:cs="Arial"/>
                <w:b/>
                <w:bCs/>
              </w:rPr>
              <w:t>Programa de Trabalho</w:t>
            </w:r>
          </w:p>
        </w:tc>
        <w:tc>
          <w:tcPr>
            <w:tcW w:w="1260" w:type="dxa"/>
            <w:shd w:val="clear" w:color="auto" w:fill="D0CECE"/>
          </w:tcPr>
          <w:p w14:paraId="06885B47">
            <w:pPr>
              <w:pStyle w:val="19"/>
              <w:numPr>
                <w:ilvl w:val="0"/>
                <w:numId w:val="0"/>
              </w:numPr>
              <w:tabs>
                <w:tab w:val="left" w:pos="426"/>
              </w:tabs>
              <w:ind w:leftChars="0"/>
              <w:jc w:val="center"/>
              <w:rPr>
                <w:rFonts w:ascii="Arial" w:hAnsi="Arial" w:cs="Arial"/>
                <w:b/>
                <w:bCs/>
              </w:rPr>
            </w:pPr>
            <w:r>
              <w:rPr>
                <w:rFonts w:ascii="Arial" w:hAnsi="Arial" w:cs="Arial"/>
                <w:b/>
                <w:bCs/>
              </w:rPr>
              <w:t>Fonte de Recurso</w:t>
            </w:r>
          </w:p>
        </w:tc>
        <w:tc>
          <w:tcPr>
            <w:tcW w:w="1380" w:type="dxa"/>
            <w:shd w:val="clear" w:color="auto" w:fill="D0CECE"/>
          </w:tcPr>
          <w:p w14:paraId="382271A9">
            <w:pPr>
              <w:pStyle w:val="19"/>
              <w:numPr>
                <w:ilvl w:val="0"/>
                <w:numId w:val="0"/>
              </w:numPr>
              <w:tabs>
                <w:tab w:val="left" w:pos="426"/>
              </w:tabs>
              <w:ind w:leftChars="0"/>
              <w:jc w:val="center"/>
              <w:rPr>
                <w:rFonts w:ascii="Arial" w:hAnsi="Arial" w:cs="Arial"/>
              </w:rPr>
            </w:pPr>
            <w:r>
              <w:rPr>
                <w:rFonts w:ascii="Arial" w:hAnsi="Arial" w:cs="Arial"/>
                <w:b/>
                <w:bCs/>
              </w:rPr>
              <w:t>Natureza de Despesa</w:t>
            </w:r>
          </w:p>
        </w:tc>
      </w:tr>
      <w:tr w14:paraId="43DBA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3930" w:type="dxa"/>
          </w:tcPr>
          <w:p w14:paraId="6EA1A96E">
            <w:pPr>
              <w:pStyle w:val="19"/>
              <w:numPr>
                <w:ilvl w:val="0"/>
                <w:numId w:val="0"/>
              </w:numPr>
              <w:tabs>
                <w:tab w:val="left" w:pos="426"/>
              </w:tabs>
              <w:ind w:leftChars="0"/>
              <w:jc w:val="center"/>
              <w:rPr>
                <w:rFonts w:ascii="Arial" w:hAnsi="Arial" w:cs="Arial"/>
              </w:rPr>
            </w:pPr>
            <w:r>
              <w:rPr>
                <w:rFonts w:ascii="Arial" w:hAnsi="Arial" w:cs="Arial"/>
              </w:rPr>
              <w:t>Hospital Maternidade Dr. Mário Dutra de Castro</w:t>
            </w:r>
          </w:p>
        </w:tc>
        <w:tc>
          <w:tcPr>
            <w:tcW w:w="2985" w:type="dxa"/>
          </w:tcPr>
          <w:p w14:paraId="4AEDC1C5">
            <w:pPr>
              <w:pStyle w:val="19"/>
              <w:numPr>
                <w:ilvl w:val="0"/>
                <w:numId w:val="0"/>
              </w:numPr>
              <w:tabs>
                <w:tab w:val="left" w:pos="426"/>
              </w:tabs>
              <w:ind w:leftChars="0"/>
              <w:jc w:val="center"/>
              <w:rPr>
                <w:rFonts w:ascii="Arial" w:hAnsi="Arial" w:cs="Arial"/>
              </w:rPr>
            </w:pPr>
            <w:r>
              <w:rPr>
                <w:rFonts w:ascii="Arial" w:hAnsi="Arial" w:cs="Arial"/>
              </w:rPr>
              <w:t>36001.10.302.1004.2.142</w:t>
            </w:r>
          </w:p>
        </w:tc>
        <w:tc>
          <w:tcPr>
            <w:tcW w:w="1260" w:type="dxa"/>
            <w:vMerge w:val="restart"/>
          </w:tcPr>
          <w:p w14:paraId="1E2F701F">
            <w:pPr>
              <w:pStyle w:val="19"/>
              <w:numPr>
                <w:ilvl w:val="0"/>
                <w:numId w:val="0"/>
              </w:numPr>
              <w:tabs>
                <w:tab w:val="left" w:pos="426"/>
              </w:tabs>
              <w:ind w:leftChars="0"/>
              <w:jc w:val="center"/>
              <w:rPr>
                <w:rFonts w:ascii="Arial" w:hAnsi="Arial" w:cs="Arial"/>
              </w:rPr>
            </w:pPr>
          </w:p>
          <w:p w14:paraId="1CED08AA">
            <w:pPr>
              <w:pStyle w:val="19"/>
              <w:numPr>
                <w:ilvl w:val="0"/>
                <w:numId w:val="0"/>
              </w:numPr>
              <w:tabs>
                <w:tab w:val="left" w:pos="426"/>
              </w:tabs>
              <w:ind w:leftChars="0"/>
              <w:jc w:val="center"/>
              <w:rPr>
                <w:rFonts w:ascii="Arial" w:hAnsi="Arial" w:cs="Arial"/>
              </w:rPr>
            </w:pPr>
          </w:p>
          <w:p w14:paraId="4C722C76">
            <w:pPr>
              <w:pStyle w:val="19"/>
              <w:numPr>
                <w:ilvl w:val="0"/>
                <w:numId w:val="0"/>
              </w:numPr>
              <w:tabs>
                <w:tab w:val="left" w:pos="426"/>
              </w:tabs>
              <w:ind w:leftChars="0"/>
              <w:jc w:val="center"/>
              <w:rPr>
                <w:rFonts w:ascii="Arial" w:hAnsi="Arial" w:cs="Arial"/>
              </w:rPr>
            </w:pPr>
          </w:p>
          <w:p w14:paraId="53208860">
            <w:pPr>
              <w:pStyle w:val="19"/>
              <w:numPr>
                <w:ilvl w:val="0"/>
                <w:numId w:val="0"/>
              </w:numPr>
              <w:tabs>
                <w:tab w:val="left" w:pos="426"/>
              </w:tabs>
              <w:ind w:leftChars="0"/>
              <w:jc w:val="center"/>
              <w:rPr>
                <w:rFonts w:ascii="Arial" w:hAnsi="Arial" w:cs="Arial"/>
              </w:rPr>
            </w:pPr>
            <w:r>
              <w:rPr>
                <w:rFonts w:ascii="Arial" w:hAnsi="Arial" w:cs="Arial"/>
              </w:rPr>
              <w:t>1600</w:t>
            </w:r>
          </w:p>
        </w:tc>
        <w:tc>
          <w:tcPr>
            <w:tcW w:w="1380" w:type="dxa"/>
            <w:vMerge w:val="restart"/>
            <w:vAlign w:val="center"/>
          </w:tcPr>
          <w:p w14:paraId="221CBF17">
            <w:pPr>
              <w:pStyle w:val="19"/>
              <w:numPr>
                <w:ilvl w:val="0"/>
                <w:numId w:val="0"/>
              </w:numPr>
              <w:tabs>
                <w:tab w:val="left" w:pos="426"/>
              </w:tabs>
              <w:ind w:leftChars="0"/>
              <w:jc w:val="center"/>
              <w:rPr>
                <w:rFonts w:ascii="Arial" w:hAnsi="Arial" w:cs="Arial"/>
              </w:rPr>
            </w:pPr>
            <w:r>
              <w:rPr>
                <w:rFonts w:ascii="Arial" w:hAnsi="Arial" w:cs="Arial"/>
              </w:rPr>
              <w:t>33.90.30.15</w:t>
            </w:r>
          </w:p>
        </w:tc>
      </w:tr>
      <w:tr w14:paraId="6A0F0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trPr>
        <w:tc>
          <w:tcPr>
            <w:tcW w:w="3930" w:type="dxa"/>
          </w:tcPr>
          <w:p w14:paraId="5C479512">
            <w:pPr>
              <w:pStyle w:val="19"/>
              <w:numPr>
                <w:ilvl w:val="0"/>
                <w:numId w:val="0"/>
              </w:numPr>
              <w:tabs>
                <w:tab w:val="left" w:pos="426"/>
              </w:tabs>
              <w:ind w:leftChars="0"/>
              <w:jc w:val="center"/>
              <w:rPr>
                <w:rFonts w:ascii="Arial" w:hAnsi="Arial" w:cs="Arial"/>
              </w:rPr>
            </w:pPr>
            <w:r>
              <w:rPr>
                <w:rFonts w:ascii="Arial" w:hAnsi="Arial" w:cs="Arial"/>
              </w:rPr>
              <w:t>Subsecretaria de Vig. em Saúde / Programa IST/AIDS/HV</w:t>
            </w:r>
          </w:p>
        </w:tc>
        <w:tc>
          <w:tcPr>
            <w:tcW w:w="2985" w:type="dxa"/>
          </w:tcPr>
          <w:p w14:paraId="412EB28C">
            <w:pPr>
              <w:pStyle w:val="19"/>
              <w:numPr>
                <w:ilvl w:val="0"/>
                <w:numId w:val="0"/>
              </w:numPr>
              <w:tabs>
                <w:tab w:val="left" w:pos="426"/>
              </w:tabs>
              <w:ind w:leftChars="0"/>
              <w:jc w:val="center"/>
              <w:rPr>
                <w:rFonts w:ascii="Arial" w:hAnsi="Arial" w:cs="Arial"/>
              </w:rPr>
            </w:pPr>
            <w:r>
              <w:rPr>
                <w:rFonts w:ascii="Arial" w:hAnsi="Arial" w:cs="Arial"/>
              </w:rPr>
              <w:t>36001.10.305.1008.2.156</w:t>
            </w:r>
          </w:p>
        </w:tc>
        <w:tc>
          <w:tcPr>
            <w:tcW w:w="1260" w:type="dxa"/>
            <w:vMerge w:val="continue"/>
            <w:tcBorders>
              <w:top w:val="nil"/>
            </w:tcBorders>
          </w:tcPr>
          <w:p w14:paraId="37848AFD">
            <w:pPr>
              <w:pStyle w:val="19"/>
              <w:numPr>
                <w:ilvl w:val="1"/>
                <w:numId w:val="3"/>
              </w:numPr>
              <w:tabs>
                <w:tab w:val="left" w:pos="426"/>
              </w:tabs>
              <w:ind w:left="0" w:firstLine="0"/>
              <w:jc w:val="both"/>
              <w:rPr>
                <w:rFonts w:ascii="Arial" w:hAnsi="Arial" w:cs="Arial"/>
              </w:rPr>
            </w:pPr>
          </w:p>
        </w:tc>
        <w:tc>
          <w:tcPr>
            <w:tcW w:w="1380" w:type="dxa"/>
            <w:vMerge w:val="continue"/>
          </w:tcPr>
          <w:p w14:paraId="72D4D57D">
            <w:pPr>
              <w:pStyle w:val="19"/>
              <w:numPr>
                <w:ilvl w:val="1"/>
                <w:numId w:val="3"/>
              </w:numPr>
              <w:tabs>
                <w:tab w:val="left" w:pos="426"/>
              </w:tabs>
              <w:ind w:left="0" w:firstLine="0"/>
              <w:jc w:val="both"/>
              <w:rPr>
                <w:rFonts w:ascii="Arial" w:hAnsi="Arial" w:cs="Arial"/>
              </w:rPr>
            </w:pPr>
          </w:p>
        </w:tc>
      </w:tr>
      <w:tr w14:paraId="6C164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3930" w:type="dxa"/>
          </w:tcPr>
          <w:p w14:paraId="5D2BEE6C">
            <w:pPr>
              <w:pStyle w:val="19"/>
              <w:numPr>
                <w:ilvl w:val="0"/>
                <w:numId w:val="0"/>
              </w:numPr>
              <w:tabs>
                <w:tab w:val="left" w:pos="426"/>
              </w:tabs>
              <w:ind w:leftChars="0"/>
              <w:jc w:val="center"/>
              <w:rPr>
                <w:rFonts w:ascii="Arial" w:hAnsi="Arial" w:cs="Arial"/>
              </w:rPr>
            </w:pPr>
            <w:r>
              <w:rPr>
                <w:rFonts w:ascii="Arial" w:hAnsi="Arial" w:cs="Arial"/>
              </w:rPr>
              <w:t>Farmácia Complementar</w:t>
            </w:r>
          </w:p>
        </w:tc>
        <w:tc>
          <w:tcPr>
            <w:tcW w:w="2985" w:type="dxa"/>
          </w:tcPr>
          <w:p w14:paraId="79669C38">
            <w:pPr>
              <w:pStyle w:val="19"/>
              <w:numPr>
                <w:ilvl w:val="0"/>
                <w:numId w:val="0"/>
              </w:numPr>
              <w:tabs>
                <w:tab w:val="left" w:pos="426"/>
              </w:tabs>
              <w:ind w:leftChars="0"/>
              <w:jc w:val="center"/>
              <w:rPr>
                <w:rFonts w:ascii="Arial" w:hAnsi="Arial" w:cs="Arial"/>
              </w:rPr>
            </w:pPr>
            <w:r>
              <w:rPr>
                <w:rFonts w:ascii="Arial" w:hAnsi="Arial" w:cs="Arial"/>
              </w:rPr>
              <w:t>36001.10.303.1007.2.150</w:t>
            </w:r>
          </w:p>
        </w:tc>
        <w:tc>
          <w:tcPr>
            <w:tcW w:w="1260" w:type="dxa"/>
            <w:vMerge w:val="continue"/>
            <w:tcBorders>
              <w:top w:val="nil"/>
            </w:tcBorders>
          </w:tcPr>
          <w:p w14:paraId="7083FB44">
            <w:pPr>
              <w:pStyle w:val="19"/>
              <w:numPr>
                <w:ilvl w:val="1"/>
                <w:numId w:val="3"/>
              </w:numPr>
              <w:tabs>
                <w:tab w:val="left" w:pos="426"/>
              </w:tabs>
              <w:ind w:left="0" w:firstLine="0"/>
              <w:jc w:val="both"/>
              <w:rPr>
                <w:rFonts w:ascii="Arial" w:hAnsi="Arial" w:cs="Arial"/>
              </w:rPr>
            </w:pPr>
          </w:p>
        </w:tc>
        <w:tc>
          <w:tcPr>
            <w:tcW w:w="1380" w:type="dxa"/>
            <w:vMerge w:val="continue"/>
          </w:tcPr>
          <w:p w14:paraId="124B4156">
            <w:pPr>
              <w:pStyle w:val="19"/>
              <w:numPr>
                <w:ilvl w:val="1"/>
                <w:numId w:val="3"/>
              </w:numPr>
              <w:tabs>
                <w:tab w:val="left" w:pos="426"/>
              </w:tabs>
              <w:ind w:left="0" w:firstLine="0"/>
              <w:jc w:val="both"/>
              <w:rPr>
                <w:rFonts w:ascii="Arial" w:hAnsi="Arial" w:cs="Arial"/>
              </w:rPr>
            </w:pPr>
          </w:p>
        </w:tc>
      </w:tr>
    </w:tbl>
    <w:p w14:paraId="6A15A158">
      <w:pPr>
        <w:pStyle w:val="19"/>
        <w:numPr>
          <w:ilvl w:val="0"/>
          <w:numId w:val="0"/>
        </w:numPr>
        <w:tabs>
          <w:tab w:val="left" w:pos="426"/>
        </w:tabs>
        <w:ind w:leftChars="0"/>
        <w:jc w:val="both"/>
        <w:rPr>
          <w:rFonts w:hint="default" w:ascii="Arial" w:hAnsi="Arial" w:cs="Arial"/>
          <w:b w:val="0"/>
          <w:bCs w:val="0"/>
          <w:sz w:val="22"/>
          <w:szCs w:val="22"/>
          <w:lang w:val="pt-BR"/>
        </w:rPr>
      </w:pPr>
      <w:r>
        <w:rPr>
          <w:rFonts w:hint="default" w:ascii="Arial" w:hAnsi="Arial" w:cs="Arial"/>
          <w:lang w:val="pt-BR"/>
        </w:rPr>
        <w:t xml:space="preserve">13.3 </w:t>
      </w:r>
      <w:r>
        <w:rPr>
          <w:rFonts w:ascii="Arial" w:hAnsi="Arial" w:cs="Arial"/>
        </w:rPr>
        <w:t>A dotação relativa aos exercícios financeiros subsequentes será indicada após aprovação da Lei Orçamentária respectiva e liberação dos créditos correspondentes, mediante apostilamento.</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0"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left="0" w:leftChars="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8F1765F"/>
    <w:rsid w:val="0975772F"/>
    <w:rsid w:val="0CE62487"/>
    <w:rsid w:val="11CC2ACE"/>
    <w:rsid w:val="12576B22"/>
    <w:rsid w:val="132C03E4"/>
    <w:rsid w:val="15840859"/>
    <w:rsid w:val="180E26AB"/>
    <w:rsid w:val="1AF72D93"/>
    <w:rsid w:val="1D1A1BCA"/>
    <w:rsid w:val="1FD12E07"/>
    <w:rsid w:val="201234CC"/>
    <w:rsid w:val="23EA577B"/>
    <w:rsid w:val="26422127"/>
    <w:rsid w:val="2B4258DD"/>
    <w:rsid w:val="2BB53814"/>
    <w:rsid w:val="341D7D55"/>
    <w:rsid w:val="3C4D19A5"/>
    <w:rsid w:val="3C9967A2"/>
    <w:rsid w:val="3D361311"/>
    <w:rsid w:val="40635A95"/>
    <w:rsid w:val="415377F6"/>
    <w:rsid w:val="46136706"/>
    <w:rsid w:val="501F24D5"/>
    <w:rsid w:val="57D4214E"/>
    <w:rsid w:val="5C237373"/>
    <w:rsid w:val="5CC21238"/>
    <w:rsid w:val="623C6820"/>
    <w:rsid w:val="655965EF"/>
    <w:rsid w:val="682661AD"/>
    <w:rsid w:val="68532C20"/>
    <w:rsid w:val="6F9517AA"/>
    <w:rsid w:val="749B1192"/>
    <w:rsid w:val="76633449"/>
    <w:rsid w:val="779E3526"/>
    <w:rsid w:val="77B2358A"/>
    <w:rsid w:val="7C1E3C2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4992</Words>
  <Characters>28061</Characters>
  <Lines>241</Lines>
  <Paragraphs>68</Paragraphs>
  <TotalTime>5</TotalTime>
  <ScaleCrop>false</ScaleCrop>
  <LinksUpToDate>false</LinksUpToDate>
  <CharactersWithSpaces>32874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2026-04-01T17:04:03Z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